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6584A" w14:textId="77777777" w:rsidR="0068740A" w:rsidRPr="001E5011" w:rsidRDefault="0068740A" w:rsidP="0068740A">
      <w:pPr>
        <w:pStyle w:val="Normal"/>
        <w:tabs>
          <w:tab w:val="left" w:pos="2834"/>
          <w:tab w:val="left" w:pos="5669"/>
          <w:tab w:val="left" w:pos="8503"/>
          <w:tab w:val="left" w:pos="8640"/>
          <w:tab w:val="left" w:pos="9360"/>
          <w:tab w:val="left" w:pos="10080"/>
          <w:tab w:val="left" w:pos="10800"/>
          <w:tab w:val="left" w:pos="11520"/>
          <w:tab w:val="left" w:pos="12240"/>
          <w:tab w:val="left" w:pos="12960"/>
          <w:tab w:val="left" w:pos="13680"/>
          <w:tab w:val="left" w:pos="14400"/>
          <w:tab w:val="left" w:pos="15120"/>
          <w:tab w:val="left" w:pos="15840"/>
        </w:tabs>
        <w:ind w:right="281"/>
        <w:jc w:val="both"/>
        <w:rPr>
          <w:rFonts w:ascii="Times New Roman" w:hAnsi="Times New Roman" w:cs="Times New Roman"/>
          <w:lang w:val="es-ES" w:eastAsia="x-none"/>
        </w:rPr>
      </w:pPr>
    </w:p>
    <w:p w14:paraId="621FCDE5" w14:textId="77777777" w:rsidR="00595AD3" w:rsidRPr="001E5011" w:rsidRDefault="0068740A"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251"/>
        <w:jc w:val="center"/>
        <w:rPr>
          <w:rFonts w:ascii="Times New Roman" w:hAnsi="Times New Roman" w:cs="Times New Roman"/>
          <w:b/>
          <w:bCs/>
          <w:color w:val="000000"/>
          <w:lang w:val="es-ES" w:eastAsia="x-none"/>
        </w:rPr>
      </w:pPr>
      <w:r w:rsidRPr="001E5011">
        <w:rPr>
          <w:rFonts w:ascii="Times New Roman" w:hAnsi="Times New Roman" w:cs="Times New Roman"/>
          <w:b/>
          <w:bCs/>
          <w:color w:val="000000"/>
          <w:lang w:val="es-ES" w:eastAsia="x-none"/>
        </w:rPr>
        <w:t>INSTRUCCI</w:t>
      </w:r>
      <w:r w:rsidR="00595AD3" w:rsidRPr="001E5011">
        <w:rPr>
          <w:rFonts w:ascii="Times New Roman" w:hAnsi="Times New Roman" w:cs="Times New Roman"/>
          <w:b/>
          <w:bCs/>
          <w:color w:val="000000"/>
          <w:lang w:val="es-ES" w:eastAsia="x-none"/>
        </w:rPr>
        <w:t>ÓN</w:t>
      </w:r>
    </w:p>
    <w:p w14:paraId="166E522F" w14:textId="72371841" w:rsidR="00595AD3" w:rsidRPr="001E5011" w:rsidRDefault="0068740A"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1251"/>
        <w:jc w:val="both"/>
        <w:rPr>
          <w:rFonts w:ascii="Times New Roman" w:eastAsia="Times New Roman" w:hAnsi="Times New Roman" w:cs="Times New Roman"/>
          <w:color w:val="000000"/>
          <w:sz w:val="20"/>
          <w:szCs w:val="20"/>
          <w:lang w:val="es-ES" w:eastAsia="x-none"/>
        </w:rPr>
      </w:pPr>
      <w:r w:rsidRPr="001E5011">
        <w:rPr>
          <w:rFonts w:ascii="Times New Roman" w:hAnsi="Times New Roman" w:cs="Times New Roman"/>
          <w:color w:val="000000"/>
          <w:sz w:val="20"/>
          <w:szCs w:val="20"/>
          <w:lang w:val="es-ES" w:eastAsia="x-none"/>
        </w:rPr>
        <w:br/>
      </w:r>
      <w:r w:rsidR="00595AD3" w:rsidRPr="001E5011">
        <w:rPr>
          <w:rFonts w:ascii="Times New Roman" w:eastAsia="Times New Roman" w:hAnsi="Times New Roman" w:cs="Times New Roman"/>
          <w:color w:val="000000"/>
          <w:sz w:val="20"/>
          <w:szCs w:val="20"/>
          <w:lang w:val="es-ES" w:eastAsia="x-none"/>
        </w:rPr>
        <w:t>1. Contra la resolución / la providencia procede recurso a favor de las partes.</w:t>
      </w:r>
    </w:p>
    <w:p w14:paraId="7DD8BFFC" w14:textId="2187CFAE" w:rsidR="00595AD3" w:rsidRPr="001E5011" w:rsidRDefault="00595AD3"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1251"/>
        <w:jc w:val="both"/>
        <w:rPr>
          <w:rFonts w:ascii="Times New Roman" w:eastAsia="Times New Roman" w:hAnsi="Times New Roman" w:cs="Times New Roman"/>
          <w:color w:val="000000"/>
          <w:sz w:val="20"/>
          <w:szCs w:val="20"/>
          <w:lang w:val="es-ES" w:eastAsia="x-none"/>
        </w:rPr>
      </w:pPr>
      <w:r w:rsidRPr="001E5011">
        <w:rPr>
          <w:rFonts w:ascii="Times New Roman" w:eastAsia="Times New Roman" w:hAnsi="Times New Roman" w:cs="Times New Roman"/>
          <w:color w:val="000000"/>
          <w:sz w:val="20"/>
          <w:szCs w:val="20"/>
          <w:lang w:val="es-ES" w:eastAsia="x-none"/>
        </w:rPr>
        <w:t>2. El recurso se interpondrá por escrito ante el tribunal que haya dictado la resolución recurrida (artículo 428 § 1 del Código de Procedimiento Penal).</w:t>
      </w:r>
    </w:p>
    <w:p w14:paraId="567ACFFD" w14:textId="50B0966E" w:rsidR="00595AD3" w:rsidRPr="001E5011" w:rsidRDefault="00595AD3"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1251"/>
        <w:jc w:val="both"/>
        <w:rPr>
          <w:rFonts w:ascii="Times New Roman" w:eastAsia="Times New Roman" w:hAnsi="Times New Roman" w:cs="Times New Roman"/>
          <w:color w:val="000000"/>
          <w:sz w:val="20"/>
          <w:szCs w:val="20"/>
          <w:lang w:val="es-ES" w:eastAsia="x-none"/>
        </w:rPr>
      </w:pPr>
      <w:r w:rsidRPr="001E5011">
        <w:rPr>
          <w:rFonts w:ascii="Times New Roman" w:eastAsia="Times New Roman" w:hAnsi="Times New Roman" w:cs="Times New Roman"/>
          <w:color w:val="000000"/>
          <w:sz w:val="20"/>
          <w:szCs w:val="20"/>
          <w:lang w:val="es-ES" w:eastAsia="x-none"/>
        </w:rPr>
        <w:t>3. El recurso se interpondrá dentro del plazo preclusivo de siete días a contar desde la fecha de notificación de la resolución/ de la providencia (artículo 122 § 2, artículo 460 frase primera y artículo 466 § 1 del Código de Procedimiento Penal).</w:t>
      </w:r>
    </w:p>
    <w:p w14:paraId="02926F11" w14:textId="1C26FC92" w:rsidR="00595AD3" w:rsidRPr="001E5011" w:rsidRDefault="00595AD3"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1251"/>
        <w:jc w:val="both"/>
        <w:rPr>
          <w:rFonts w:ascii="Times New Roman" w:eastAsia="Times New Roman" w:hAnsi="Times New Roman" w:cs="Times New Roman"/>
          <w:color w:val="000000"/>
          <w:sz w:val="20"/>
          <w:szCs w:val="20"/>
          <w:lang w:val="es-ES" w:eastAsia="x-none"/>
        </w:rPr>
      </w:pPr>
      <w:r w:rsidRPr="001E5011">
        <w:rPr>
          <w:rFonts w:ascii="Times New Roman" w:eastAsia="Times New Roman" w:hAnsi="Times New Roman" w:cs="Times New Roman"/>
          <w:color w:val="000000"/>
          <w:sz w:val="20"/>
          <w:szCs w:val="20"/>
          <w:lang w:val="es-ES" w:eastAsia="x-none"/>
        </w:rPr>
        <w:t>El acto procesal realizado una vez transcurrido el plazo preclusivo carecerá de efectos (artículo 122 § 1 del Código de Procedimiento Penal). En el cómputo del plazo no se incluirá el día a partir del cual se compute dicho plazo. Si el último día del plazo coincide con un día reconocido por la ley como día no laborable, el acto podrá realizarse el día siguiente (artículo 123 § 1 y 3 del Código de Procedimiento Penal).</w:t>
      </w:r>
    </w:p>
    <w:p w14:paraId="46BB8F34" w14:textId="77777777" w:rsidR="00595AD3" w:rsidRPr="001E5011" w:rsidRDefault="00595AD3"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1251"/>
        <w:jc w:val="both"/>
        <w:rPr>
          <w:rFonts w:ascii="Times New Roman" w:eastAsia="Times New Roman" w:hAnsi="Times New Roman" w:cs="Times New Roman"/>
          <w:color w:val="000000"/>
          <w:sz w:val="20"/>
          <w:szCs w:val="20"/>
          <w:lang w:val="es-ES" w:eastAsia="x-none"/>
        </w:rPr>
      </w:pPr>
      <w:r w:rsidRPr="001E5011">
        <w:rPr>
          <w:rFonts w:ascii="Times New Roman" w:eastAsia="Times New Roman" w:hAnsi="Times New Roman" w:cs="Times New Roman"/>
          <w:color w:val="000000"/>
          <w:sz w:val="20"/>
          <w:szCs w:val="20"/>
          <w:lang w:val="es-ES" w:eastAsia="x-none"/>
        </w:rPr>
        <w:t>El plazo se tendrá por cumplido si, antes de su vencimiento, el escrito hubiera sido presentado en una oficina de una entidad encargada de la entrega de correspondencia en el territorio de la Unión Europea, en una oficina consular de la República de Polonia, o presentado por un soldado en el mando de su unidad militar, o por una persona privada de libertad ante la administración del establecimiento correspondiente, o por un miembro de la tripulación de un buque marítimo polaco ante el capitán del buque (artículo 124 del Código de Procedimiento Penal).</w:t>
      </w:r>
    </w:p>
    <w:p w14:paraId="2471A84B" w14:textId="77777777" w:rsidR="00595AD3" w:rsidRPr="001E5011" w:rsidRDefault="00595AD3"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1251"/>
        <w:jc w:val="both"/>
        <w:rPr>
          <w:rFonts w:ascii="Times New Roman" w:eastAsia="Times New Roman" w:hAnsi="Times New Roman" w:cs="Times New Roman"/>
          <w:color w:val="000000"/>
          <w:sz w:val="20"/>
          <w:szCs w:val="20"/>
          <w:lang w:val="es-ES" w:eastAsia="x-none"/>
        </w:rPr>
      </w:pPr>
      <w:r w:rsidRPr="001E5011">
        <w:rPr>
          <w:rFonts w:ascii="Times New Roman" w:eastAsia="Times New Roman" w:hAnsi="Times New Roman" w:cs="Times New Roman"/>
          <w:color w:val="000000"/>
          <w:sz w:val="20"/>
          <w:szCs w:val="20"/>
          <w:lang w:val="es-ES" w:eastAsia="x-none"/>
        </w:rPr>
        <w:t>Si el incumplimiento del plazo preclusivo se hubiera producido por causas independientes de la parte, esta podrá, dentro del plazo preclusivo de siete días desde la fecha en que cesó el impedimento, solicitar la restitución del plazo, realizando simultáneamente el acto que debía haberse efectuado dentro del plazo; lo dispuesto anteriormente se aplicará igualmente a las personas que no sean partes (artículo 126 § 1 del Código de Procedimiento Penal).</w:t>
      </w:r>
    </w:p>
    <w:p w14:paraId="27E14119" w14:textId="37520D07" w:rsidR="0068740A" w:rsidRPr="001E5011" w:rsidRDefault="0068740A" w:rsidP="00595AD3">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right="1251"/>
        <w:jc w:val="both"/>
        <w:rPr>
          <w:rFonts w:ascii="Times New Roman" w:hAnsi="Times New Roman" w:cs="Times New Roman"/>
          <w:lang w:val="es-ES" w:eastAsia="x-none"/>
        </w:rPr>
      </w:pPr>
    </w:p>
    <w:p w14:paraId="0170FCA0" w14:textId="078B2A29" w:rsidR="00885963" w:rsidRPr="001E5011" w:rsidRDefault="0068740A" w:rsidP="0068740A">
      <w:pPr>
        <w:rPr>
          <w:lang w:val="es-ES"/>
        </w:rPr>
      </w:pPr>
      <w:r w:rsidRPr="001E5011">
        <w:rPr>
          <w:rFonts w:ascii="Times New Roman" w:hAnsi="Times New Roman" w:cs="Times New Roman"/>
          <w:color w:val="000000"/>
          <w:sz w:val="16"/>
          <w:szCs w:val="16"/>
          <w:lang w:val="es-ES" w:eastAsia="x-none"/>
        </w:rPr>
        <w:fldChar w:fldCharType="begin"/>
      </w:r>
      <w:r w:rsidRPr="001E5011">
        <w:rPr>
          <w:rFonts w:ascii="Times New Roman" w:hAnsi="Times New Roman" w:cs="Times New Roman"/>
          <w:color w:val="000000"/>
          <w:sz w:val="16"/>
          <w:szCs w:val="16"/>
          <w:lang w:val="es-ES" w:eastAsia="x-none"/>
        </w:rPr>
        <w:instrText xml:space="preserve"> {KONIEC} </w:instrText>
      </w:r>
      <w:r w:rsidRPr="001E5011">
        <w:rPr>
          <w:rFonts w:ascii="Times New Roman" w:hAnsi="Times New Roman" w:cs="Times New Roman"/>
          <w:color w:val="000000"/>
          <w:sz w:val="16"/>
          <w:szCs w:val="16"/>
          <w:lang w:val="es-ES" w:eastAsia="x-none"/>
        </w:rPr>
        <w:fldChar w:fldCharType="separate"/>
      </w:r>
      <w:r w:rsidRPr="001E5011">
        <w:rPr>
          <w:rFonts w:ascii="Times New Roman" w:hAnsi="Times New Roman" w:cs="Times New Roman"/>
          <w:color w:val="000000"/>
          <w:sz w:val="16"/>
          <w:szCs w:val="16"/>
          <w:lang w:val="es-ES" w:eastAsia="x-none"/>
        </w:rPr>
        <w:t xml:space="preserve"> </w:t>
      </w:r>
      <w:r w:rsidRPr="001E5011">
        <w:rPr>
          <w:rFonts w:ascii="Times New Roman" w:hAnsi="Times New Roman" w:cs="Times New Roman"/>
          <w:color w:val="000000"/>
          <w:sz w:val="16"/>
          <w:szCs w:val="16"/>
          <w:lang w:val="es-ES" w:eastAsia="x-none"/>
        </w:rPr>
        <w:fldChar w:fldCharType="end"/>
      </w:r>
    </w:p>
    <w:sectPr w:rsidR="00885963" w:rsidRPr="001E50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B56A6" w14:textId="77777777" w:rsidR="00C82477" w:rsidRDefault="00C82477" w:rsidP="00C82477">
      <w:pPr>
        <w:spacing w:after="0" w:line="240" w:lineRule="auto"/>
      </w:pPr>
      <w:r>
        <w:separator/>
      </w:r>
    </w:p>
  </w:endnote>
  <w:endnote w:type="continuationSeparator" w:id="0">
    <w:p w14:paraId="2EA96C96" w14:textId="77777777" w:rsidR="00C82477" w:rsidRDefault="00C82477" w:rsidP="00C82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91086" w14:textId="77777777" w:rsidR="00C82477" w:rsidRDefault="00C82477" w:rsidP="00C82477">
      <w:pPr>
        <w:spacing w:after="0" w:line="240" w:lineRule="auto"/>
      </w:pPr>
      <w:r>
        <w:separator/>
      </w:r>
    </w:p>
  </w:footnote>
  <w:footnote w:type="continuationSeparator" w:id="0">
    <w:p w14:paraId="2EC212B0" w14:textId="77777777" w:rsidR="00C82477" w:rsidRDefault="00C82477" w:rsidP="00C824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77645"/>
    <w:rsid w:val="001E5011"/>
    <w:rsid w:val="00220AB7"/>
    <w:rsid w:val="00237C3A"/>
    <w:rsid w:val="0027042B"/>
    <w:rsid w:val="00595AD3"/>
    <w:rsid w:val="0068740A"/>
    <w:rsid w:val="00885963"/>
    <w:rsid w:val="008E08B7"/>
    <w:rsid w:val="00977645"/>
    <w:rsid w:val="009E349A"/>
    <w:rsid w:val="00C824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D2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68740A"/>
    <w:pPr>
      <w:widowControl w:val="0"/>
      <w:autoSpaceDE w:val="0"/>
      <w:autoSpaceDN w:val="0"/>
      <w:adjustRightInd w:val="0"/>
      <w:spacing w:after="0" w:line="240" w:lineRule="auto"/>
    </w:pPr>
    <w:rPr>
      <w:rFonts w:ascii="Arial" w:hAnsi="Arial" w:cs="Arial"/>
      <w:sz w:val="24"/>
      <w:szCs w:val="24"/>
      <w:lang w:eastAsia="pl-PL"/>
    </w:rPr>
  </w:style>
  <w:style w:type="paragraph" w:styleId="NormalnyWeb">
    <w:name w:val="Normal (Web)"/>
    <w:basedOn w:val="Normalny"/>
    <w:uiPriority w:val="99"/>
    <w:semiHidden/>
    <w:unhideWhenUsed/>
    <w:rsid w:val="00595AD3"/>
    <w:rPr>
      <w:rFonts w:ascii="Times New Roman" w:hAnsi="Times New Roman" w:cs="Times New Roman"/>
      <w:sz w:val="24"/>
      <w:szCs w:val="24"/>
    </w:rPr>
  </w:style>
  <w:style w:type="paragraph" w:styleId="Nagwek">
    <w:name w:val="header"/>
    <w:basedOn w:val="Normalny"/>
    <w:link w:val="NagwekZnak"/>
    <w:uiPriority w:val="99"/>
    <w:unhideWhenUsed/>
    <w:rsid w:val="00C8247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2477"/>
  </w:style>
  <w:style w:type="paragraph" w:styleId="Stopka">
    <w:name w:val="footer"/>
    <w:basedOn w:val="Normalny"/>
    <w:link w:val="StopkaZnak"/>
    <w:uiPriority w:val="99"/>
    <w:unhideWhenUsed/>
    <w:rsid w:val="00C8247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2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1605</Characters>
  <Application>Microsoft Office Word</Application>
  <DocSecurity>0</DocSecurity>
  <Lines>27</Lines>
  <Paragraphs>7</Paragraphs>
  <ScaleCrop>false</ScaleCrop>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2026-03-19T11:57:00Z</dcterms:created>
  <dcterms:modified xsi:type="dcterms:W3CDTF">2026-03-19T11:57:00Z</dcterms:modified>
</cp:coreProperties>
</file>